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cs="黑体"/>
          <w:b/>
          <w:spacing w:val="-17"/>
          <w:kern w:val="0"/>
          <w:sz w:val="28"/>
          <w:szCs w:val="28"/>
        </w:rPr>
      </w:pPr>
      <w:r>
        <w:rPr>
          <w:rFonts w:hint="eastAsia" w:ascii="黑体" w:hAnsi="黑体" w:eastAsia="黑体" w:cs="黑体"/>
          <w:b/>
          <w:spacing w:val="-17"/>
          <w:kern w:val="0"/>
          <w:sz w:val="28"/>
          <w:szCs w:val="28"/>
          <w:lang w:val="en-US" w:eastAsia="zh-CN"/>
        </w:rPr>
        <w:t>公告4：</w:t>
      </w:r>
    </w:p>
    <w:p>
      <w:pPr>
        <w:keepNext w:val="0"/>
        <w:keepLines w:val="0"/>
        <w:pageBreakBefore w:val="0"/>
        <w:widowControl w:val="0"/>
        <w:kinsoku/>
        <w:wordWrap/>
        <w:overflowPunct/>
        <w:topLinePunct w:val="0"/>
        <w:autoSpaceDE/>
        <w:autoSpaceDN/>
        <w:bidi w:val="0"/>
        <w:adjustRightInd/>
        <w:snapToGrid/>
        <w:jc w:val="center"/>
        <w:rPr>
          <w:rFonts w:hint="eastAsia" w:ascii="黑体" w:hAnsi="黑体" w:eastAsia="黑体" w:cs="黑体"/>
          <w:b/>
          <w:spacing w:val="-17"/>
          <w:kern w:val="0"/>
          <w:sz w:val="44"/>
          <w:szCs w:val="44"/>
        </w:rPr>
      </w:pPr>
      <w:r>
        <w:rPr>
          <w:rFonts w:hint="eastAsia" w:ascii="黑体" w:hAnsi="黑体" w:eastAsia="黑体" w:cs="黑体"/>
          <w:b/>
          <w:spacing w:val="-17"/>
          <w:kern w:val="0"/>
          <w:sz w:val="44"/>
          <w:szCs w:val="44"/>
        </w:rPr>
        <w:t>河南能源“揭榜挂帅”科技项目榜单公告</w:t>
      </w:r>
    </w:p>
    <w:p>
      <w:pPr>
        <w:pStyle w:val="2"/>
        <w:keepNext w:val="0"/>
        <w:keepLines w:val="0"/>
        <w:pageBreakBefore w:val="0"/>
        <w:widowControl w:val="0"/>
        <w:kinsoku/>
        <w:wordWrap/>
        <w:overflowPunct/>
        <w:topLinePunct w:val="0"/>
        <w:autoSpaceDE/>
        <w:autoSpaceDN/>
        <w:bidi w:val="0"/>
        <w:adjustRightInd/>
        <w:snapToGrid/>
        <w:rPr>
          <w:rFonts w:hint="eastAsia"/>
        </w:rPr>
      </w:pPr>
    </w:p>
    <w:p>
      <w:pPr>
        <w:keepNext w:val="0"/>
        <w:keepLines w:val="0"/>
        <w:pageBreakBefore w:val="0"/>
        <w:widowControl w:val="0"/>
        <w:kinsoku/>
        <w:wordWrap/>
        <w:overflowPunct/>
        <w:topLinePunct w:val="0"/>
        <w:autoSpaceDE/>
        <w:autoSpaceDN/>
        <w:bidi w:val="0"/>
        <w:adjustRightInd/>
        <w:snapToGrid/>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一、榜单名称</w:t>
      </w:r>
    </w:p>
    <w:p>
      <w:pPr>
        <w:keepNext w:val="0"/>
        <w:keepLines w:val="0"/>
        <w:pageBreakBefore w:val="0"/>
        <w:widowControl w:val="0"/>
        <w:kinsoku/>
        <w:wordWrap/>
        <w:overflowPunct/>
        <w:topLinePunct w:val="0"/>
        <w:autoSpaceDE/>
        <w:autoSpaceDN/>
        <w:bidi w:val="0"/>
        <w:adjustRightInd/>
        <w:snapToGrid/>
        <w:spacing w:line="610" w:lineRule="exact"/>
        <w:ind w:left="8" w:firstLine="630" w:firstLineChars="196"/>
        <w:jc w:val="left"/>
        <w:textAlignment w:val="auto"/>
        <w:rPr>
          <w:rFonts w:hint="eastAsia" w:ascii="仿宋" w:hAnsi="仿宋" w:eastAsia="仿宋" w:cs="仿宋"/>
          <w:b w:val="0"/>
          <w:bCs w:val="0"/>
          <w:kern w:val="0"/>
          <w:sz w:val="32"/>
          <w:szCs w:val="32"/>
          <w:lang w:eastAsia="zh-CN"/>
        </w:rPr>
      </w:pPr>
      <w:r>
        <w:rPr>
          <w:rFonts w:hint="eastAsia" w:ascii="仿宋" w:hAnsi="仿宋" w:eastAsia="仿宋" w:cs="仿宋"/>
          <w:b/>
          <w:bCs/>
          <w:kern w:val="0"/>
          <w:sz w:val="32"/>
          <w:szCs w:val="32"/>
        </w:rPr>
        <w:t>项目名称：</w:t>
      </w:r>
      <w:r>
        <w:rPr>
          <w:rFonts w:hint="eastAsia" w:ascii="仿宋" w:hAnsi="仿宋" w:eastAsia="仿宋" w:cs="仿宋"/>
          <w:b w:val="0"/>
          <w:bCs w:val="0"/>
          <w:kern w:val="0"/>
          <w:sz w:val="32"/>
          <w:szCs w:val="32"/>
        </w:rPr>
        <w:t>采动与断层构造控制影响下巨厚砾岩运动时空演化规律及耦合条件下压裂可行性研究</w:t>
      </w:r>
    </w:p>
    <w:p>
      <w:pPr>
        <w:keepNext w:val="0"/>
        <w:keepLines w:val="0"/>
        <w:pageBreakBefore w:val="0"/>
        <w:widowControl w:val="0"/>
        <w:kinsoku/>
        <w:wordWrap/>
        <w:overflowPunct/>
        <w:topLinePunct w:val="0"/>
        <w:autoSpaceDE/>
        <w:autoSpaceDN/>
        <w:bidi w:val="0"/>
        <w:adjustRightInd/>
        <w:snapToGrid/>
        <w:spacing w:line="610" w:lineRule="exact"/>
        <w:ind w:firstLine="643" w:firstLineChars="200"/>
        <w:jc w:val="left"/>
        <w:textAlignment w:val="auto"/>
        <w:rPr>
          <w:rFonts w:hint="default" w:ascii="仿宋" w:hAnsi="仿宋" w:eastAsia="仿宋" w:cs="仿宋"/>
          <w:b/>
          <w:bCs/>
          <w:kern w:val="0"/>
          <w:sz w:val="32"/>
          <w:szCs w:val="32"/>
          <w:highlight w:val="none"/>
          <w:lang w:val="en-US" w:eastAsia="zh-CN"/>
        </w:rPr>
      </w:pPr>
      <w:r>
        <w:rPr>
          <w:rFonts w:hint="eastAsia" w:ascii="仿宋" w:hAnsi="仿宋" w:eastAsia="仿宋" w:cs="仿宋"/>
          <w:b/>
          <w:bCs/>
          <w:kern w:val="0"/>
          <w:sz w:val="32"/>
          <w:szCs w:val="32"/>
          <w:highlight w:val="none"/>
          <w:lang w:val="en-US" w:eastAsia="zh-CN"/>
        </w:rPr>
        <w:t>注：</w:t>
      </w:r>
      <w:r>
        <w:rPr>
          <w:rFonts w:hint="eastAsia" w:ascii="仿宋" w:hAnsi="仿宋" w:eastAsia="仿宋" w:cs="仿宋"/>
          <w:kern w:val="0"/>
          <w:sz w:val="32"/>
          <w:szCs w:val="32"/>
          <w:highlight w:val="none"/>
        </w:rPr>
        <w:t>《关于下达河南能源集团2024年科技研发项目计划的通知》（豫能办〔2024〕95号），项目编号</w:t>
      </w:r>
      <w:r>
        <w:rPr>
          <w:rFonts w:hint="eastAsia" w:ascii="仿宋" w:hAnsi="仿宋" w:eastAsia="仿宋" w:cs="仿宋"/>
          <w:b w:val="0"/>
          <w:bCs w:val="0"/>
          <w:kern w:val="0"/>
          <w:sz w:val="32"/>
          <w:szCs w:val="32"/>
        </w:rPr>
        <w:t>2024-03-2</w:t>
      </w:r>
      <w:r>
        <w:rPr>
          <w:rFonts w:hint="eastAsia" w:ascii="仿宋" w:hAnsi="仿宋" w:eastAsia="仿宋" w:cs="仿宋"/>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二、</w:t>
      </w:r>
      <w:r>
        <w:rPr>
          <w:rFonts w:hint="eastAsia" w:ascii="黑体" w:hAnsi="黑体" w:eastAsia="黑体" w:cs="黑体"/>
          <w:kern w:val="0"/>
          <w:sz w:val="32"/>
          <w:szCs w:val="32"/>
        </w:rPr>
        <w:t>需求目标</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1.研究深部开采扰动与F16断层控制下巨厚砾岩移动规律，分析巨厚砾岩运动对工作面应力场演化特征、塑性区变化、沉降变化的影响，揭示采动与断层构造对巨厚砾岩运动的影响机制。</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2.探明义马矿区地应力场分布规律。开展地应力测试工作，在实测地应力资料的基础上，揭示三维地应力场空间分布规律，获得整体区域较为准确的地应力场分布模式。</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3.分析采动影响下F16断层区域应力状态时空演化规律。建立断层活化的应力判据，进行前兆信息捕捉及预警。阐明断层活化与工作面煤体应力状态、工作面煤体冲击失稳间的作用机制，提出有针对性的防冲措施。</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4.提出针对义马矿区大采深、巨厚砾岩顶板、F16大型断层、自然发火厚煤层复杂条件下的冲击地压区域治理手段，结合义马矿区地应力及断层构造应力分布规律，明确义马矿区顶板岩层压裂特性，建立义马矿区顶板岩层水力压裂可行性综合评价方法，定量评估顶板岩层水力压裂工程应用的可行性。</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jc w:val="left"/>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三、考核指标</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根据义马矿区地质情况与开采条件，开展地应力测试，探明义马矿区地应力场分布规律；研究深部开采扰动与F16断层控制下耿村煤矿巨厚砾岩移动规律，揭示采动与断层构造对巨厚砾岩运动的控制程度，建立义马矿区顶板岩层水力压裂可行性综合评价方法，定量评估顶板岩层水力压裂工程应用的可行性。</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2.提交</w:t>
      </w:r>
      <w:r>
        <w:rPr>
          <w:rFonts w:hint="eastAsia" w:ascii="仿宋" w:hAnsi="仿宋" w:eastAsia="仿宋" w:cs="仿宋"/>
          <w:b w:val="0"/>
          <w:bCs w:val="0"/>
          <w:kern w:val="0"/>
          <w:sz w:val="32"/>
          <w:szCs w:val="32"/>
        </w:rPr>
        <w:t>采动与断层构造控制影响下巨厚砾岩运动时空演化规律及耦合条件下压裂可行性研究</w:t>
      </w:r>
      <w:r>
        <w:rPr>
          <w:rFonts w:hint="eastAsia" w:ascii="仿宋" w:hAnsi="仿宋" w:eastAsia="仿宋" w:cs="仿宋"/>
          <w:b w:val="0"/>
          <w:bCs w:val="0"/>
          <w:kern w:val="0"/>
          <w:sz w:val="32"/>
          <w:szCs w:val="32"/>
          <w:lang w:val="en-US" w:eastAsia="zh-CN"/>
        </w:rPr>
        <w:t>报告。</w:t>
      </w:r>
      <w:r>
        <w:rPr>
          <w:rFonts w:hint="eastAsia" w:ascii="仿宋" w:hAnsi="仿宋" w:eastAsia="仿宋" w:cs="仿宋"/>
          <w:bCs/>
          <w:sz w:val="32"/>
          <w:szCs w:val="32"/>
        </w:rPr>
        <w:t>为同类</w:t>
      </w:r>
      <w:r>
        <w:rPr>
          <w:rFonts w:hint="eastAsia" w:ascii="仿宋" w:hAnsi="仿宋" w:eastAsia="仿宋" w:cs="仿宋"/>
          <w:bCs/>
          <w:sz w:val="32"/>
          <w:szCs w:val="32"/>
          <w:lang w:eastAsia="zh-CN"/>
        </w:rPr>
        <w:t>灾害影响</w:t>
      </w:r>
      <w:r>
        <w:rPr>
          <w:rFonts w:hint="eastAsia" w:ascii="仿宋" w:hAnsi="仿宋" w:eastAsia="仿宋" w:cs="仿宋"/>
          <w:bCs/>
          <w:sz w:val="32"/>
          <w:szCs w:val="32"/>
        </w:rPr>
        <w:t>矿井提供参考资料，进而提升针对</w:t>
      </w:r>
      <w:r>
        <w:rPr>
          <w:rFonts w:hint="eastAsia" w:ascii="仿宋" w:hAnsi="仿宋" w:eastAsia="仿宋" w:cs="仿宋"/>
          <w:bCs/>
          <w:sz w:val="32"/>
          <w:szCs w:val="32"/>
          <w:lang w:val="en-US" w:eastAsia="zh-CN"/>
        </w:rPr>
        <w:t>深部开采扰动与断层控制下巨厚砾岩移动冲击地压</w:t>
      </w:r>
      <w:r>
        <w:rPr>
          <w:rFonts w:hint="eastAsia" w:ascii="仿宋" w:hAnsi="仿宋" w:eastAsia="仿宋" w:cs="仿宋"/>
          <w:bCs/>
          <w:sz w:val="32"/>
          <w:szCs w:val="32"/>
        </w:rPr>
        <w:t>防治的整体实力，</w:t>
      </w:r>
      <w:r>
        <w:rPr>
          <w:rFonts w:hint="eastAsia" w:ascii="仿宋" w:hAnsi="仿宋" w:eastAsia="仿宋" w:cs="仿宋"/>
          <w:bCs/>
          <w:sz w:val="32"/>
          <w:szCs w:val="32"/>
          <w:lang w:val="en-US" w:eastAsia="zh-CN"/>
        </w:rPr>
        <w:t>为义马矿区工作面安全回采制定有效的冲击地压源头防治措施提供科学依据，全面提升义马矿区冲击地压灾害防控的理论认知水平。</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ascii="仿宋" w:hAnsi="仿宋" w:eastAsia="仿宋" w:cs="仿宋"/>
          <w:kern w:val="0"/>
          <w:sz w:val="32"/>
          <w:szCs w:val="32"/>
        </w:rPr>
      </w:pPr>
      <w:r>
        <w:rPr>
          <w:rFonts w:hint="eastAsia" w:ascii="仿宋" w:hAnsi="仿宋" w:eastAsia="仿宋" w:cs="仿宋"/>
          <w:bCs/>
          <w:sz w:val="32"/>
          <w:szCs w:val="32"/>
          <w:lang w:val="en-US" w:eastAsia="zh-CN"/>
        </w:rPr>
        <w:t>3.</w:t>
      </w:r>
      <w:r>
        <w:rPr>
          <w:rFonts w:hint="eastAsia" w:ascii="仿宋" w:hAnsi="仿宋" w:eastAsia="仿宋" w:cs="仿宋"/>
          <w:kern w:val="0"/>
          <w:sz w:val="32"/>
          <w:szCs w:val="32"/>
        </w:rPr>
        <w:t>申请</w:t>
      </w:r>
      <w:r>
        <w:rPr>
          <w:rFonts w:hint="eastAsia" w:ascii="仿宋" w:hAnsi="仿宋" w:eastAsia="仿宋" w:cs="仿宋"/>
          <w:bCs/>
          <w:sz w:val="32"/>
          <w:szCs w:val="32"/>
          <w:lang w:val="en-US" w:eastAsia="zh-CN"/>
        </w:rPr>
        <w:t>深部开采扰动与断层控制下巨厚砾岩移动等影响因素冲击地压综合防治技术</w:t>
      </w:r>
      <w:r>
        <w:rPr>
          <w:rFonts w:hint="eastAsia" w:ascii="仿宋" w:hAnsi="仿宋" w:eastAsia="仿宋" w:cs="仿宋"/>
          <w:bCs/>
          <w:sz w:val="32"/>
          <w:szCs w:val="32"/>
          <w:lang w:eastAsia="zh-CN"/>
        </w:rPr>
        <w:t>相关</w:t>
      </w:r>
      <w:r>
        <w:rPr>
          <w:rFonts w:hint="eastAsia" w:ascii="仿宋" w:hAnsi="仿宋" w:eastAsia="仿宋" w:cs="仿宋"/>
          <w:kern w:val="0"/>
          <w:sz w:val="32"/>
          <w:szCs w:val="32"/>
        </w:rPr>
        <w:t>发明专利</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项</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发表核心论文不少于</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篇。</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ascii="仿宋" w:hAnsi="仿宋" w:eastAsia="仿宋" w:cs="仿宋"/>
          <w:kern w:val="0"/>
          <w:sz w:val="32"/>
          <w:szCs w:val="32"/>
        </w:rPr>
      </w:pPr>
      <w:r>
        <w:rPr>
          <w:rFonts w:hint="eastAsia" w:ascii="仿宋" w:hAnsi="仿宋" w:eastAsia="仿宋" w:cs="仿宋"/>
          <w:kern w:val="0"/>
          <w:sz w:val="32"/>
          <w:szCs w:val="32"/>
        </w:rPr>
        <w:t>4.研究成果经第三方鉴定，达到国内领先及以上水平。</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jc w:val="left"/>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四、实施期限</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jc w:val="left"/>
        <w:textAlignment w:val="auto"/>
        <w:rPr>
          <w:rFonts w:ascii="仿宋" w:hAnsi="仿宋" w:eastAsia="仿宋" w:cs="仿宋"/>
          <w:kern w:val="0"/>
          <w:sz w:val="32"/>
          <w:szCs w:val="32"/>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年12月底之前。</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jc w:val="left"/>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五、榜单限额</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kern w:val="0"/>
          <w:sz w:val="32"/>
          <w:szCs w:val="32"/>
        </w:rPr>
        <w:t>委外研究费用不超过</w:t>
      </w:r>
      <w:r>
        <w:rPr>
          <w:rFonts w:hint="eastAsia" w:ascii="仿宋" w:hAnsi="仿宋" w:eastAsia="仿宋" w:cs="仿宋"/>
          <w:bCs/>
          <w:sz w:val="32"/>
          <w:szCs w:val="32"/>
          <w:lang w:val="en-US" w:eastAsia="zh-CN"/>
        </w:rPr>
        <w:t>120万。</w:t>
      </w:r>
      <w:bookmarkStart w:id="0" w:name="_GoBack"/>
      <w:bookmarkEnd w:id="0"/>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jc w:val="left"/>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六、揭榜方条件</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ascii="仿宋" w:hAnsi="仿宋" w:eastAsia="仿宋" w:cs="仿宋"/>
          <w:kern w:val="0"/>
          <w:sz w:val="32"/>
          <w:szCs w:val="32"/>
        </w:rPr>
      </w:pPr>
      <w:r>
        <w:rPr>
          <w:rFonts w:hint="eastAsia" w:ascii="仿宋" w:hAnsi="仿宋" w:eastAsia="仿宋" w:cs="仿宋"/>
          <w:kern w:val="0"/>
          <w:sz w:val="32"/>
          <w:szCs w:val="32"/>
        </w:rPr>
        <w:t>1.揭榜方所在单位具备良好的工作基础、实验条件和科研环境，有较强的研发实力、科研条件和稳定的人员队伍等，有能力完成张榜任务；具有良好的科研道德和社会诚信，近3年内无不良信用记录；一般近五年内应承担过国家和省、行业重点科技攻关项目1项，或取得过国家和省部级、行业级科学技术奖1项，并具有一定的持续发展能力。</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ascii="仿宋" w:hAnsi="仿宋" w:eastAsia="仿宋" w:cs="仿宋"/>
          <w:kern w:val="0"/>
          <w:sz w:val="32"/>
          <w:szCs w:val="32"/>
        </w:rPr>
      </w:pPr>
      <w:r>
        <w:rPr>
          <w:rFonts w:hint="eastAsia" w:ascii="仿宋" w:hAnsi="仿宋" w:eastAsia="仿宋" w:cs="仿宋"/>
          <w:kern w:val="0"/>
          <w:sz w:val="32"/>
          <w:szCs w:val="32"/>
        </w:rPr>
        <w:t>2.揭榜方挂帅者实行“谁有能力谁就揭榜挂帅”的原则。挂帅者作为研发团队带头人，无年龄、学历和职称要求，但应在</w:t>
      </w:r>
      <w:r>
        <w:rPr>
          <w:rFonts w:hint="eastAsia" w:ascii="仿宋" w:hAnsi="仿宋" w:eastAsia="仿宋" w:cs="仿宋"/>
          <w:kern w:val="0"/>
          <w:sz w:val="32"/>
          <w:szCs w:val="32"/>
          <w:highlight w:val="none"/>
          <w:lang w:eastAsia="zh-CN"/>
        </w:rPr>
        <w:t>矿井水害防治</w:t>
      </w:r>
      <w:r>
        <w:rPr>
          <w:rFonts w:hint="eastAsia" w:ascii="仿宋" w:hAnsi="仿宋" w:eastAsia="仿宋" w:cs="仿宋"/>
          <w:kern w:val="0"/>
          <w:sz w:val="32"/>
          <w:szCs w:val="32"/>
        </w:rPr>
        <w:t>领域中已取得较为突出的创新成果，有良好的科学道德和严谨的学风，能对张榜项目需求给出攻克关键核心技术的可行方案，掌握自主知识产权，对本学科领域的发展具有重要推动作用，有时间和精力从事揭榜项目研究工作。</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ascii="仿宋" w:hAnsi="仿宋" w:eastAsia="仿宋" w:cs="仿宋"/>
          <w:kern w:val="0"/>
          <w:sz w:val="32"/>
          <w:szCs w:val="32"/>
        </w:rPr>
      </w:pPr>
      <w:r>
        <w:rPr>
          <w:rFonts w:hint="eastAsia" w:ascii="仿宋" w:hAnsi="仿宋" w:eastAsia="仿宋" w:cs="仿宋"/>
          <w:kern w:val="0"/>
          <w:sz w:val="32"/>
          <w:szCs w:val="32"/>
        </w:rPr>
        <w:t>3.揭榜方参与本项目的科研团队除挂帅者之外一般应有至少1名副高级职称或博士学位的核心人员（特别优秀创新人才不受限制），专业结构合理。团队研究方向和主要研究课题符合集团公司发展领域和优势产业发展的要求，已取得突出成绩或具有明显的创新潜力。</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jc w:val="left"/>
        <w:textAlignment w:val="auto"/>
        <w:rPr>
          <w:rFonts w:ascii="仿宋" w:hAnsi="仿宋" w:eastAsia="仿宋" w:cs="仿宋"/>
          <w:kern w:val="0"/>
          <w:sz w:val="32"/>
          <w:szCs w:val="32"/>
        </w:rPr>
      </w:pPr>
      <w:r>
        <w:rPr>
          <w:rFonts w:hint="eastAsia" w:ascii="仿宋" w:hAnsi="仿宋" w:eastAsia="仿宋" w:cs="仿宋"/>
          <w:kern w:val="0"/>
          <w:sz w:val="32"/>
          <w:szCs w:val="32"/>
        </w:rPr>
        <w:t>4.挂帅者应保证在项目实施期间的工作时间和工作量，原则在</w:t>
      </w:r>
      <w:r>
        <w:rPr>
          <w:rFonts w:hint="eastAsia" w:ascii="仿宋" w:hAnsi="仿宋" w:eastAsia="仿宋" w:cs="仿宋"/>
          <w:kern w:val="0"/>
          <w:sz w:val="32"/>
          <w:szCs w:val="32"/>
          <w:lang w:eastAsia="zh-CN"/>
        </w:rPr>
        <w:t>义</w:t>
      </w:r>
      <w:r>
        <w:rPr>
          <w:rFonts w:hint="eastAsia" w:ascii="仿宋" w:hAnsi="仿宋" w:eastAsia="仿宋" w:cs="仿宋"/>
          <w:kern w:val="0"/>
          <w:sz w:val="32"/>
          <w:szCs w:val="32"/>
        </w:rPr>
        <w:t>煤公司内部同时承担项目数量不超过2项。</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5.符合榜单要求的其他条件。</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jc w:val="left"/>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七、知识产权归属及利益分配</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ascii="仿宋" w:hAnsi="仿宋" w:eastAsia="仿宋" w:cs="仿宋"/>
          <w:kern w:val="0"/>
          <w:sz w:val="32"/>
          <w:szCs w:val="32"/>
        </w:rPr>
      </w:pPr>
      <w:r>
        <w:rPr>
          <w:rFonts w:hint="eastAsia" w:ascii="仿宋" w:hAnsi="仿宋" w:eastAsia="仿宋" w:cs="仿宋"/>
          <w:kern w:val="0"/>
          <w:sz w:val="32"/>
          <w:szCs w:val="32"/>
        </w:rPr>
        <w:t>1.专利或软著：第一完成单位为</w:t>
      </w:r>
      <w:r>
        <w:rPr>
          <w:rFonts w:hint="eastAsia" w:ascii="仿宋" w:hAnsi="仿宋" w:eastAsia="仿宋" w:cs="仿宋"/>
          <w:bCs/>
          <w:sz w:val="32"/>
          <w:szCs w:val="32"/>
          <w:lang w:val="en-US" w:eastAsia="zh-CN"/>
        </w:rPr>
        <w:t>义马煤业集团股份有限公司</w:t>
      </w:r>
      <w:r>
        <w:rPr>
          <w:rFonts w:hint="eastAsia" w:ascii="仿宋" w:hAnsi="仿宋" w:eastAsia="仿宋" w:cs="仿宋"/>
          <w:kern w:val="0"/>
          <w:sz w:val="32"/>
          <w:szCs w:val="32"/>
        </w:rPr>
        <w:t>。</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ascii="仿宋" w:hAnsi="仿宋" w:eastAsia="仿宋" w:cs="仿宋"/>
          <w:kern w:val="0"/>
          <w:sz w:val="32"/>
          <w:szCs w:val="32"/>
        </w:rPr>
      </w:pPr>
      <w:r>
        <w:rPr>
          <w:rFonts w:hint="eastAsia" w:ascii="仿宋" w:hAnsi="仿宋" w:eastAsia="仿宋" w:cs="仿宋"/>
          <w:kern w:val="0"/>
          <w:sz w:val="32"/>
          <w:szCs w:val="32"/>
        </w:rPr>
        <w:t>2.论文：第一作者为</w:t>
      </w:r>
      <w:r>
        <w:rPr>
          <w:rFonts w:hint="eastAsia" w:ascii="仿宋" w:hAnsi="仿宋" w:eastAsia="仿宋" w:cs="仿宋"/>
          <w:bCs/>
          <w:sz w:val="32"/>
          <w:szCs w:val="32"/>
          <w:lang w:val="en-US" w:eastAsia="zh-CN"/>
        </w:rPr>
        <w:t>义马煤业集团股份有限公司人员</w:t>
      </w:r>
      <w:r>
        <w:rPr>
          <w:rFonts w:hint="eastAsia" w:ascii="仿宋" w:hAnsi="仿宋" w:eastAsia="仿宋" w:cs="仿宋"/>
          <w:kern w:val="0"/>
          <w:sz w:val="32"/>
          <w:szCs w:val="32"/>
        </w:rPr>
        <w:t>。</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ascii="仿宋" w:hAnsi="仿宋" w:eastAsia="仿宋" w:cs="仿宋"/>
          <w:kern w:val="0"/>
          <w:sz w:val="32"/>
          <w:szCs w:val="32"/>
        </w:rPr>
      </w:pPr>
      <w:r>
        <w:rPr>
          <w:rFonts w:hint="eastAsia" w:ascii="仿宋" w:hAnsi="仿宋" w:eastAsia="仿宋" w:cs="仿宋"/>
          <w:kern w:val="0"/>
          <w:sz w:val="32"/>
          <w:szCs w:val="32"/>
        </w:rPr>
        <w:t>3.科技成果：鉴定成果的第一完成单位为</w:t>
      </w:r>
      <w:r>
        <w:rPr>
          <w:rFonts w:hint="eastAsia" w:ascii="仿宋" w:hAnsi="仿宋" w:eastAsia="仿宋" w:cs="仿宋"/>
          <w:bCs/>
          <w:sz w:val="32"/>
          <w:szCs w:val="32"/>
          <w:lang w:val="en-US" w:eastAsia="zh-CN"/>
        </w:rPr>
        <w:t>义马煤业集团股份有限公司</w:t>
      </w:r>
      <w:r>
        <w:rPr>
          <w:rFonts w:hint="eastAsia" w:ascii="仿宋" w:hAnsi="仿宋" w:eastAsia="仿宋" w:cs="仿宋"/>
          <w:kern w:val="0"/>
          <w:sz w:val="32"/>
          <w:szCs w:val="32"/>
        </w:rPr>
        <w:t>，完成人员名次可协商确定。</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ascii="仿宋" w:hAnsi="仿宋" w:eastAsia="仿宋" w:cs="仿宋"/>
          <w:kern w:val="0"/>
          <w:sz w:val="32"/>
          <w:szCs w:val="32"/>
        </w:rPr>
      </w:pPr>
      <w:r>
        <w:rPr>
          <w:rFonts w:hint="eastAsia" w:ascii="仿宋" w:hAnsi="仿宋" w:eastAsia="仿宋" w:cs="仿宋"/>
          <w:kern w:val="0"/>
          <w:sz w:val="32"/>
          <w:szCs w:val="32"/>
        </w:rPr>
        <w:t>4.本项目中的知识产权以后所产生的利益均归属</w:t>
      </w:r>
      <w:r>
        <w:rPr>
          <w:rFonts w:hint="eastAsia" w:ascii="仿宋" w:hAnsi="仿宋" w:eastAsia="仿宋" w:cs="仿宋"/>
          <w:bCs/>
          <w:sz w:val="32"/>
          <w:szCs w:val="32"/>
          <w:lang w:val="en-US" w:eastAsia="zh-CN"/>
        </w:rPr>
        <w:t>义马煤业集团股份有限公司</w:t>
      </w:r>
      <w:r>
        <w:rPr>
          <w:rFonts w:hint="eastAsia" w:ascii="仿宋" w:hAnsi="仿宋" w:eastAsia="仿宋" w:cs="仿宋"/>
          <w:kern w:val="0"/>
          <w:sz w:val="32"/>
          <w:szCs w:val="32"/>
        </w:rPr>
        <w:t>。</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jc w:val="left"/>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八、预期成果</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1.</w:t>
      </w:r>
      <w:r>
        <w:rPr>
          <w:rFonts w:hint="eastAsia" w:ascii="仿宋" w:hAnsi="仿宋" w:eastAsia="仿宋" w:cs="仿宋"/>
          <w:kern w:val="0"/>
          <w:sz w:val="32"/>
          <w:szCs w:val="32"/>
          <w:lang w:eastAsia="zh-CN"/>
        </w:rPr>
        <w:t>通过对</w:t>
      </w:r>
      <w:r>
        <w:rPr>
          <w:rFonts w:hint="eastAsia" w:ascii="仿宋" w:hAnsi="仿宋" w:eastAsia="仿宋" w:cs="仿宋"/>
          <w:b w:val="0"/>
          <w:bCs w:val="0"/>
          <w:kern w:val="0"/>
          <w:sz w:val="32"/>
          <w:szCs w:val="32"/>
        </w:rPr>
        <w:t>采动与断层构造控制影响下巨厚砾岩运动时空演化规律及耦合条件下压裂可行性研究</w:t>
      </w:r>
      <w:r>
        <w:rPr>
          <w:rFonts w:hint="eastAsia" w:ascii="仿宋" w:hAnsi="仿宋" w:eastAsia="仿宋" w:cs="仿宋"/>
          <w:b w:val="0"/>
          <w:bCs w:val="0"/>
          <w:kern w:val="0"/>
          <w:sz w:val="32"/>
          <w:szCs w:val="32"/>
          <w:lang w:eastAsia="zh-CN"/>
        </w:rPr>
        <w:t>，</w:t>
      </w:r>
      <w:r>
        <w:rPr>
          <w:rFonts w:hint="eastAsia" w:ascii="仿宋" w:hAnsi="仿宋" w:eastAsia="仿宋" w:cs="仿宋"/>
          <w:bCs/>
          <w:sz w:val="32"/>
          <w:szCs w:val="32"/>
        </w:rPr>
        <w:t>逐步完善整理出一套符合</w:t>
      </w:r>
      <w:r>
        <w:rPr>
          <w:rFonts w:hint="eastAsia" w:ascii="仿宋" w:hAnsi="仿宋" w:eastAsia="仿宋" w:cs="仿宋"/>
          <w:bCs/>
          <w:sz w:val="32"/>
          <w:szCs w:val="32"/>
          <w:lang w:val="en-US" w:eastAsia="zh-CN"/>
        </w:rPr>
        <w:t>义马矿区</w:t>
      </w:r>
      <w:r>
        <w:rPr>
          <w:rFonts w:hint="eastAsia" w:ascii="仿宋" w:hAnsi="仿宋" w:eastAsia="仿宋" w:cs="仿宋"/>
          <w:bCs/>
          <w:sz w:val="32"/>
          <w:szCs w:val="32"/>
        </w:rPr>
        <w:t>安全、</w:t>
      </w:r>
      <w:r>
        <w:rPr>
          <w:rFonts w:hint="eastAsia" w:ascii="仿宋" w:hAnsi="仿宋" w:eastAsia="仿宋" w:cs="仿宋"/>
          <w:bCs/>
          <w:sz w:val="32"/>
          <w:szCs w:val="32"/>
          <w:lang w:val="en-US" w:eastAsia="zh-CN"/>
        </w:rPr>
        <w:t>有效</w:t>
      </w:r>
      <w:r>
        <w:rPr>
          <w:rFonts w:hint="eastAsia" w:ascii="仿宋" w:hAnsi="仿宋" w:eastAsia="仿宋" w:cs="仿宋"/>
          <w:bCs/>
          <w:sz w:val="32"/>
          <w:szCs w:val="32"/>
        </w:rPr>
        <w:t>的</w:t>
      </w:r>
      <w:r>
        <w:rPr>
          <w:rFonts w:hint="eastAsia" w:ascii="仿宋" w:hAnsi="仿宋" w:eastAsia="仿宋" w:cs="仿宋"/>
          <w:bCs/>
          <w:sz w:val="32"/>
          <w:szCs w:val="32"/>
          <w:lang w:val="en-US" w:eastAsia="zh-CN"/>
        </w:rPr>
        <w:t>冲击地压</w:t>
      </w:r>
      <w:r>
        <w:rPr>
          <w:rFonts w:hint="eastAsia" w:ascii="仿宋" w:hAnsi="仿宋" w:eastAsia="仿宋" w:cs="仿宋"/>
          <w:bCs/>
          <w:sz w:val="32"/>
          <w:szCs w:val="32"/>
        </w:rPr>
        <w:t>防治技术，为同类矿井、同类</w:t>
      </w:r>
      <w:r>
        <w:rPr>
          <w:rFonts w:hint="eastAsia" w:ascii="仿宋" w:hAnsi="仿宋" w:eastAsia="仿宋" w:cs="仿宋"/>
          <w:bCs/>
          <w:sz w:val="32"/>
          <w:szCs w:val="32"/>
          <w:lang w:val="en-US" w:eastAsia="zh-CN"/>
        </w:rPr>
        <w:t>冲击地压</w:t>
      </w:r>
      <w:r>
        <w:rPr>
          <w:rFonts w:hint="eastAsia" w:ascii="仿宋" w:hAnsi="仿宋" w:eastAsia="仿宋" w:cs="仿宋"/>
          <w:bCs/>
          <w:sz w:val="32"/>
          <w:szCs w:val="32"/>
        </w:rPr>
        <w:t>影响提供参考资料，进而提升针对</w:t>
      </w:r>
      <w:r>
        <w:rPr>
          <w:rFonts w:hint="eastAsia" w:ascii="仿宋" w:hAnsi="仿宋" w:eastAsia="仿宋" w:cs="仿宋"/>
          <w:bCs/>
          <w:sz w:val="32"/>
          <w:szCs w:val="32"/>
          <w:lang w:val="en-US" w:eastAsia="zh-CN"/>
        </w:rPr>
        <w:t>巨厚砾岩、坚硬顶板、断层构造冲击地压</w:t>
      </w:r>
      <w:r>
        <w:rPr>
          <w:rFonts w:hint="eastAsia" w:ascii="仿宋" w:hAnsi="仿宋" w:eastAsia="仿宋" w:cs="仿宋"/>
          <w:bCs/>
          <w:sz w:val="32"/>
          <w:szCs w:val="32"/>
        </w:rPr>
        <w:t>防治的整体技术实力。</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2.提交</w:t>
      </w:r>
      <w:r>
        <w:rPr>
          <w:rFonts w:hint="eastAsia" w:ascii="仿宋" w:hAnsi="仿宋" w:eastAsia="仿宋" w:cs="仿宋"/>
          <w:b w:val="0"/>
          <w:bCs w:val="0"/>
          <w:kern w:val="0"/>
          <w:sz w:val="32"/>
          <w:szCs w:val="32"/>
        </w:rPr>
        <w:t>采动与断层构造控制影响下巨厚砾岩运动时空演化规律及耦合条件下压裂可行性研究</w:t>
      </w:r>
      <w:r>
        <w:rPr>
          <w:rFonts w:hint="eastAsia" w:ascii="仿宋" w:hAnsi="仿宋" w:eastAsia="仿宋" w:cs="仿宋"/>
          <w:b w:val="0"/>
          <w:bCs w:val="0"/>
          <w:kern w:val="0"/>
          <w:sz w:val="32"/>
          <w:szCs w:val="32"/>
          <w:lang w:val="en-US" w:eastAsia="zh-CN"/>
        </w:rPr>
        <w:t>报告</w:t>
      </w:r>
      <w:r>
        <w:rPr>
          <w:rFonts w:hint="eastAsia" w:ascii="仿宋" w:hAnsi="仿宋" w:eastAsia="仿宋" w:cs="仿宋"/>
          <w:bCs/>
          <w:sz w:val="32"/>
          <w:szCs w:val="32"/>
        </w:rPr>
        <w:t>。</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3.</w:t>
      </w:r>
      <w:r>
        <w:rPr>
          <w:rFonts w:hint="eastAsia" w:ascii="仿宋" w:hAnsi="仿宋" w:eastAsia="仿宋" w:cs="仿宋"/>
          <w:bCs/>
          <w:sz w:val="32"/>
          <w:szCs w:val="32"/>
        </w:rPr>
        <w:t>在核心期刊上发表论文</w:t>
      </w:r>
      <w:r>
        <w:rPr>
          <w:rFonts w:hint="eastAsia" w:ascii="仿宋" w:hAnsi="仿宋" w:eastAsia="仿宋" w:cs="仿宋"/>
          <w:bCs/>
          <w:sz w:val="32"/>
          <w:szCs w:val="32"/>
          <w:lang w:val="en-US" w:eastAsia="zh-CN"/>
        </w:rPr>
        <w:t>2</w:t>
      </w:r>
      <w:r>
        <w:rPr>
          <w:rFonts w:hint="eastAsia" w:ascii="仿宋" w:hAnsi="仿宋" w:eastAsia="仿宋" w:cs="仿宋"/>
          <w:bCs/>
          <w:sz w:val="32"/>
          <w:szCs w:val="32"/>
        </w:rPr>
        <w:t>篇、申请发明专利</w:t>
      </w:r>
      <w:r>
        <w:rPr>
          <w:rFonts w:hint="eastAsia" w:ascii="仿宋" w:hAnsi="仿宋" w:eastAsia="仿宋" w:cs="仿宋"/>
          <w:bCs/>
          <w:sz w:val="32"/>
          <w:szCs w:val="32"/>
          <w:lang w:val="en-US" w:eastAsia="zh-CN"/>
        </w:rPr>
        <w:t>2</w:t>
      </w:r>
      <w:r>
        <w:rPr>
          <w:rFonts w:hint="eastAsia" w:ascii="仿宋" w:hAnsi="仿宋" w:eastAsia="仿宋" w:cs="仿宋"/>
          <w:bCs/>
          <w:sz w:val="32"/>
          <w:szCs w:val="32"/>
        </w:rPr>
        <w:t>项。</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jc w:val="left"/>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九、应用场景</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项目研发的地应力测试技术、采动应力监测技术及水力压裂卸压应力调控技术，可以在义马矿区进行大量推广应用。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5ODRkODY3ZDFhYjE5NzJhYjU2YTFjNmY1NGI0NmUifQ=="/>
    <w:docVar w:name="KSO_WPS_MARK_KEY" w:val="b0f8d2df-050c-42a5-9f78-f3a3e313c96d"/>
  </w:docVars>
  <w:rsids>
    <w:rsidRoot w:val="2C211F54"/>
    <w:rsid w:val="001D1497"/>
    <w:rsid w:val="00292D75"/>
    <w:rsid w:val="0033558E"/>
    <w:rsid w:val="004130FC"/>
    <w:rsid w:val="005E0958"/>
    <w:rsid w:val="005F7AD4"/>
    <w:rsid w:val="006A1108"/>
    <w:rsid w:val="007452F0"/>
    <w:rsid w:val="007E5EE5"/>
    <w:rsid w:val="009B5411"/>
    <w:rsid w:val="00AD32E6"/>
    <w:rsid w:val="00AF0CFC"/>
    <w:rsid w:val="00B5228F"/>
    <w:rsid w:val="00B93912"/>
    <w:rsid w:val="00CC7407"/>
    <w:rsid w:val="00D2700F"/>
    <w:rsid w:val="00D5298C"/>
    <w:rsid w:val="00D8641B"/>
    <w:rsid w:val="01653586"/>
    <w:rsid w:val="01CC5EE4"/>
    <w:rsid w:val="01E41D68"/>
    <w:rsid w:val="095B15C1"/>
    <w:rsid w:val="0CE628BA"/>
    <w:rsid w:val="0E3776A3"/>
    <w:rsid w:val="0E4E11ED"/>
    <w:rsid w:val="105350CD"/>
    <w:rsid w:val="10A80FA0"/>
    <w:rsid w:val="123E722D"/>
    <w:rsid w:val="1461011D"/>
    <w:rsid w:val="185E2BF1"/>
    <w:rsid w:val="2408530D"/>
    <w:rsid w:val="277D5657"/>
    <w:rsid w:val="28DA646A"/>
    <w:rsid w:val="2C211F54"/>
    <w:rsid w:val="3A475A2C"/>
    <w:rsid w:val="43B5302E"/>
    <w:rsid w:val="46AE2CD6"/>
    <w:rsid w:val="4A5C4268"/>
    <w:rsid w:val="4BD12383"/>
    <w:rsid w:val="4C793AF6"/>
    <w:rsid w:val="50315D83"/>
    <w:rsid w:val="52A77038"/>
    <w:rsid w:val="582157B7"/>
    <w:rsid w:val="604C3C28"/>
    <w:rsid w:val="635461BE"/>
    <w:rsid w:val="6ACF7801"/>
    <w:rsid w:val="6CFC4B84"/>
    <w:rsid w:val="70D311C0"/>
    <w:rsid w:val="76A75958"/>
    <w:rsid w:val="7B1B4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UserStyle_0"/>
    <w:basedOn w:val="3"/>
    <w:next w:val="3"/>
    <w:qFormat/>
    <w:uiPriority w:val="0"/>
    <w:pPr>
      <w:textAlignment w:val="baseline"/>
    </w:pPr>
  </w:style>
  <w:style w:type="paragraph" w:customStyle="1" w:styleId="3">
    <w:name w:val="UserStyle_1"/>
    <w:basedOn w:val="4"/>
    <w:next w:val="11"/>
    <w:qFormat/>
    <w:uiPriority w:val="0"/>
    <w:pPr>
      <w:spacing w:after="120"/>
      <w:ind w:left="420" w:leftChars="200"/>
    </w:pPr>
  </w:style>
  <w:style w:type="paragraph" w:customStyle="1" w:styleId="4">
    <w:name w:val="正文 New New New New New New New New New New New New New New New"/>
    <w:next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
    <w:name w:val="Body Text First Indent 22"/>
    <w:basedOn w:val="6"/>
    <w:next w:val="8"/>
    <w:qFormat/>
    <w:uiPriority w:val="0"/>
    <w:pPr>
      <w:ind w:firstLine="420" w:firstLineChars="200"/>
    </w:pPr>
  </w:style>
  <w:style w:type="paragraph" w:customStyle="1" w:styleId="6">
    <w:name w:val="Body Text Indent2"/>
    <w:basedOn w:val="1"/>
    <w:next w:val="7"/>
    <w:qFormat/>
    <w:uiPriority w:val="0"/>
    <w:pPr>
      <w:spacing w:after="120"/>
      <w:ind w:left="420" w:leftChars="200"/>
    </w:pPr>
  </w:style>
  <w:style w:type="paragraph" w:customStyle="1" w:styleId="7">
    <w:name w:val="index 72"/>
    <w:basedOn w:val="1"/>
    <w:next w:val="4"/>
    <w:qFormat/>
    <w:uiPriority w:val="0"/>
    <w:pPr>
      <w:ind w:left="2520"/>
    </w:pPr>
  </w:style>
  <w:style w:type="paragraph" w:customStyle="1" w:styleId="8">
    <w:name w:val="正文首行缩进2"/>
    <w:basedOn w:val="9"/>
    <w:next w:val="5"/>
    <w:qFormat/>
    <w:uiPriority w:val="0"/>
    <w:pPr>
      <w:ind w:firstLine="420" w:firstLineChars="100"/>
    </w:pPr>
  </w:style>
  <w:style w:type="paragraph" w:customStyle="1" w:styleId="9">
    <w:name w:val="正文文本 New New"/>
    <w:basedOn w:val="4"/>
    <w:next w:val="10"/>
    <w:qFormat/>
    <w:uiPriority w:val="0"/>
    <w:pPr>
      <w:spacing w:after="120"/>
    </w:pPr>
  </w:style>
  <w:style w:type="paragraph" w:customStyle="1" w:styleId="10">
    <w:name w:val="正文文本 21"/>
    <w:basedOn w:val="4"/>
    <w:qFormat/>
    <w:uiPriority w:val="0"/>
    <w:pPr>
      <w:spacing w:after="120" w:line="480" w:lineRule="auto"/>
    </w:pPr>
    <w:rPr>
      <w:rFonts w:ascii="Arial" w:hAnsi="Arial"/>
    </w:rPr>
  </w:style>
  <w:style w:type="paragraph" w:customStyle="1" w:styleId="11">
    <w:name w:val="UserStyle_2"/>
    <w:basedOn w:val="1"/>
    <w:next w:val="1"/>
    <w:qFormat/>
    <w:uiPriority w:val="0"/>
    <w:pPr>
      <w:ind w:left="1200" w:leftChars="1200"/>
      <w:textAlignment w:val="baseline"/>
    </w:pPr>
  </w:style>
  <w:style w:type="paragraph" w:styleId="12">
    <w:name w:val="Body Text 3"/>
    <w:basedOn w:val="1"/>
    <w:qFormat/>
    <w:uiPriority w:val="0"/>
    <w:pPr>
      <w:spacing w:line="440" w:lineRule="exact"/>
    </w:pPr>
    <w:rPr>
      <w:b/>
      <w:sz w:val="28"/>
      <w:szCs w:val="20"/>
    </w:rPr>
  </w:style>
  <w:style w:type="paragraph" w:styleId="13">
    <w:name w:val="Body Text Indent"/>
    <w:basedOn w:val="1"/>
    <w:next w:val="1"/>
    <w:unhideWhenUsed/>
    <w:qFormat/>
    <w:uiPriority w:val="0"/>
    <w:pPr>
      <w:spacing w:after="120"/>
      <w:ind w:left="420" w:leftChars="200"/>
    </w:pPr>
  </w:style>
  <w:style w:type="paragraph" w:styleId="14">
    <w:name w:val="footer"/>
    <w:basedOn w:val="1"/>
    <w:link w:val="22"/>
    <w:qFormat/>
    <w:uiPriority w:val="0"/>
    <w:pPr>
      <w:tabs>
        <w:tab w:val="center" w:pos="4153"/>
        <w:tab w:val="right" w:pos="8306"/>
      </w:tabs>
      <w:snapToGrid w:val="0"/>
      <w:jc w:val="left"/>
    </w:pPr>
    <w:rPr>
      <w:sz w:val="18"/>
      <w:szCs w:val="18"/>
    </w:rPr>
  </w:style>
  <w:style w:type="paragraph" w:styleId="15">
    <w:name w:val="header"/>
    <w:basedOn w:val="1"/>
    <w:link w:val="21"/>
    <w:qFormat/>
    <w:uiPriority w:val="0"/>
    <w:pPr>
      <w:tabs>
        <w:tab w:val="center" w:pos="4153"/>
        <w:tab w:val="right" w:pos="8306"/>
      </w:tabs>
      <w:snapToGrid w:val="0"/>
      <w:jc w:val="center"/>
    </w:pPr>
    <w:rPr>
      <w:sz w:val="18"/>
      <w:szCs w:val="18"/>
    </w:rPr>
  </w:style>
  <w:style w:type="paragraph" w:styleId="16">
    <w:name w:val="Normal (Web)"/>
    <w:basedOn w:val="1"/>
    <w:qFormat/>
    <w:uiPriority w:val="0"/>
    <w:rPr>
      <w:sz w:val="24"/>
    </w:rPr>
  </w:style>
  <w:style w:type="paragraph" w:styleId="17">
    <w:name w:val="Body Text First Indent 2"/>
    <w:basedOn w:val="13"/>
    <w:qFormat/>
    <w:uiPriority w:val="0"/>
    <w:pPr>
      <w:snapToGrid w:val="0"/>
      <w:ind w:firstLine="420" w:firstLineChars="200"/>
    </w:pPr>
    <w:rPr>
      <w:szCs w:val="24"/>
    </w:rPr>
  </w:style>
  <w:style w:type="character" w:customStyle="1" w:styleId="20">
    <w:name w:val="font101"/>
    <w:qFormat/>
    <w:uiPriority w:val="0"/>
    <w:rPr>
      <w:rFonts w:hint="eastAsia" w:ascii="宋体" w:hAnsi="宋体" w:eastAsia="宋体" w:cs="宋体"/>
      <w:color w:val="000000"/>
      <w:sz w:val="20"/>
      <w:szCs w:val="20"/>
      <w:u w:val="none"/>
    </w:rPr>
  </w:style>
  <w:style w:type="character" w:customStyle="1" w:styleId="21">
    <w:name w:val="页眉 字符"/>
    <w:basedOn w:val="19"/>
    <w:link w:val="15"/>
    <w:qFormat/>
    <w:uiPriority w:val="0"/>
    <w:rPr>
      <w:rFonts w:asciiTheme="minorHAnsi" w:hAnsiTheme="minorHAnsi" w:eastAsiaTheme="minorEastAsia" w:cstheme="minorBidi"/>
      <w:kern w:val="2"/>
      <w:sz w:val="18"/>
      <w:szCs w:val="18"/>
    </w:rPr>
  </w:style>
  <w:style w:type="character" w:customStyle="1" w:styleId="22">
    <w:name w:val="页脚 字符"/>
    <w:basedOn w:val="19"/>
    <w:link w:val="1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1796</Words>
  <Characters>1845</Characters>
  <Lines>11</Lines>
  <Paragraphs>3</Paragraphs>
  <TotalTime>1</TotalTime>
  <ScaleCrop>false</ScaleCrop>
  <LinksUpToDate>false</LinksUpToDate>
  <CharactersWithSpaces>1845</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2024-04-02T02:16:00Z</dcterms:created>
  <dc:creator>晴天</dc:creator>
  <cp:lastModifiedBy>郝娅小A</cp:lastModifiedBy>
  <cp:lastPrinted>2024-06-03T09:54:00Z</cp:lastPrinted>
  <dcterms:modified xsi:type="dcterms:W3CDTF">2024-06-03T10:20:19Z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5D321E5D40864D7EB5D5F57AD1B40B73_13</vt:lpwstr>
  </property>
</Properties>
</file>